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50B" w:rsidRPr="00BA43B2" w:rsidRDefault="00BA43B2">
      <w:pPr>
        <w:rPr>
          <w:rFonts w:ascii="方正小标宋简体" w:eastAsia="方正小标宋简体" w:hint="eastAsia"/>
          <w:bCs/>
          <w:color w:val="000000"/>
          <w:sz w:val="44"/>
          <w:szCs w:val="44"/>
        </w:rPr>
      </w:pPr>
      <w:r w:rsidRPr="00BA43B2">
        <w:rPr>
          <w:rFonts w:ascii="方正小标宋简体" w:eastAsia="方正小标宋简体" w:hint="eastAsia"/>
          <w:bCs/>
          <w:color w:val="000000"/>
          <w:sz w:val="44"/>
          <w:szCs w:val="44"/>
        </w:rPr>
        <w:t>关于印发福州大学实验室安全管理办法的通知</w:t>
      </w:r>
    </w:p>
    <w:p w:rsidR="00BA43B2" w:rsidRPr="00BA43B2" w:rsidRDefault="00BA43B2" w:rsidP="00BA43B2">
      <w:pPr>
        <w:widowControl/>
        <w:adjustRightInd w:val="0"/>
        <w:snapToGrid w:val="0"/>
        <w:spacing w:before="100" w:beforeAutospacing="1" w:line="540" w:lineRule="exact"/>
        <w:rPr>
          <w:rFonts w:ascii="宋体" w:eastAsia="宋体" w:hAnsi="宋体" w:cs="宋体"/>
          <w:color w:val="000000"/>
          <w:kern w:val="0"/>
          <w:sz w:val="20"/>
          <w:szCs w:val="20"/>
        </w:rPr>
      </w:pPr>
      <w:r w:rsidRPr="00BA43B2">
        <w:rPr>
          <w:rFonts w:ascii="仿宋_GB2312" w:eastAsia="仿宋_GB2312" w:hAnsi="宋体" w:cs="宋体" w:hint="eastAsia"/>
          <w:color w:val="000000"/>
          <w:spacing w:val="-4"/>
          <w:kern w:val="0"/>
          <w:sz w:val="32"/>
          <w:szCs w:val="32"/>
        </w:rPr>
        <w:t>各学院、各科研机构，各有关单位：</w:t>
      </w:r>
    </w:p>
    <w:p w:rsidR="00BA43B2" w:rsidRPr="00BA43B2" w:rsidRDefault="00BA43B2" w:rsidP="00BA43B2">
      <w:pPr>
        <w:widowControl/>
        <w:adjustRightInd w:val="0"/>
        <w:snapToGrid w:val="0"/>
        <w:spacing w:before="100" w:beforeAutospacing="1" w:line="540" w:lineRule="exact"/>
        <w:ind w:firstLineChars="200" w:firstLine="624"/>
        <w:rPr>
          <w:rFonts w:ascii="宋体" w:eastAsia="宋体" w:hAnsi="宋体" w:cs="宋体"/>
          <w:color w:val="000000"/>
          <w:kern w:val="0"/>
          <w:sz w:val="20"/>
          <w:szCs w:val="20"/>
        </w:rPr>
      </w:pPr>
      <w:r w:rsidRPr="00BA43B2">
        <w:rPr>
          <w:rFonts w:ascii="仿宋_GB2312" w:eastAsia="仿宋_GB2312" w:hAnsi="宋体" w:cs="宋体" w:hint="eastAsia"/>
          <w:color w:val="000000"/>
          <w:spacing w:val="-4"/>
          <w:kern w:val="0"/>
          <w:sz w:val="32"/>
          <w:szCs w:val="32"/>
        </w:rPr>
        <w:t>为进一步加强学校实验室安全管理，保障师生员工人身与财产安全，维护教学、科研等工作的正常秩序，根据《教育部办公厅关于加强高校教学实验室安全工作的通知》（</w:t>
      </w:r>
      <w:proofErr w:type="gramStart"/>
      <w:r w:rsidRPr="00BA43B2">
        <w:rPr>
          <w:rFonts w:ascii="仿宋_GB2312" w:eastAsia="仿宋_GB2312" w:hAnsi="宋体" w:cs="宋体" w:hint="eastAsia"/>
          <w:color w:val="000000"/>
          <w:spacing w:val="-4"/>
          <w:kern w:val="0"/>
          <w:sz w:val="32"/>
          <w:szCs w:val="32"/>
        </w:rPr>
        <w:t>教高厅</w:t>
      </w:r>
      <w:proofErr w:type="gramEnd"/>
      <w:r w:rsidRPr="00BA43B2">
        <w:rPr>
          <w:rFonts w:ascii="仿宋_GB2312" w:eastAsia="仿宋_GB2312" w:hAnsi="宋体" w:cs="宋体" w:hint="eastAsia"/>
          <w:color w:val="000000"/>
          <w:kern w:val="0"/>
          <w:sz w:val="32"/>
          <w:szCs w:val="32"/>
        </w:rPr>
        <w:t>〔2017〕</w:t>
      </w:r>
      <w:r w:rsidRPr="00BA43B2">
        <w:rPr>
          <w:rFonts w:ascii="仿宋_GB2312" w:eastAsia="仿宋_GB2312" w:hAnsi="宋体" w:cs="宋体" w:hint="eastAsia"/>
          <w:color w:val="000000"/>
          <w:spacing w:val="-4"/>
          <w:kern w:val="0"/>
          <w:sz w:val="32"/>
          <w:szCs w:val="32"/>
        </w:rPr>
        <w:t>2号）精神，学校对《福州大学实验室安全管理办法》进行了修订，现印发给你们，请遵照执行。</w:t>
      </w:r>
    </w:p>
    <w:p w:rsidR="00BA43B2" w:rsidRPr="00BA43B2" w:rsidRDefault="00BA43B2" w:rsidP="00BA43B2">
      <w:pPr>
        <w:widowControl/>
        <w:adjustRightInd w:val="0"/>
        <w:snapToGrid w:val="0"/>
        <w:spacing w:before="100" w:beforeAutospacing="1" w:line="540" w:lineRule="exact"/>
        <w:ind w:firstLineChars="200" w:firstLine="624"/>
        <w:rPr>
          <w:rFonts w:ascii="宋体" w:eastAsia="宋体" w:hAnsi="宋体" w:cs="宋体"/>
          <w:color w:val="000000"/>
          <w:kern w:val="0"/>
          <w:sz w:val="20"/>
          <w:szCs w:val="20"/>
        </w:rPr>
      </w:pPr>
      <w:r w:rsidRPr="00BA43B2">
        <w:rPr>
          <w:rFonts w:ascii="宋体" w:eastAsia="宋体" w:hAnsi="宋体" w:cs="宋体" w:hint="eastAsia"/>
          <w:color w:val="000000"/>
          <w:spacing w:val="-4"/>
          <w:kern w:val="0"/>
          <w:sz w:val="32"/>
          <w:szCs w:val="32"/>
        </w:rPr>
        <w:t xml:space="preserve"> </w:t>
      </w:r>
    </w:p>
    <w:p w:rsidR="00BA43B2" w:rsidRPr="00BA43B2" w:rsidRDefault="00BA43B2" w:rsidP="00BA43B2">
      <w:pPr>
        <w:widowControl/>
        <w:adjustRightInd w:val="0"/>
        <w:snapToGrid w:val="0"/>
        <w:spacing w:before="100" w:beforeAutospacing="1" w:line="540" w:lineRule="exact"/>
        <w:ind w:firstLineChars="200" w:firstLine="624"/>
        <w:rPr>
          <w:rFonts w:ascii="宋体" w:eastAsia="宋体" w:hAnsi="宋体" w:cs="宋体"/>
          <w:color w:val="000000"/>
          <w:kern w:val="0"/>
          <w:sz w:val="20"/>
          <w:szCs w:val="20"/>
        </w:rPr>
      </w:pPr>
      <w:r w:rsidRPr="00BA43B2">
        <w:rPr>
          <w:rFonts w:ascii="宋体" w:eastAsia="宋体" w:hAnsi="宋体" w:cs="宋体" w:hint="eastAsia"/>
          <w:color w:val="000000"/>
          <w:spacing w:val="-4"/>
          <w:kern w:val="0"/>
          <w:sz w:val="32"/>
          <w:szCs w:val="32"/>
        </w:rPr>
        <w:t xml:space="preserve"> </w:t>
      </w:r>
    </w:p>
    <w:p w:rsidR="00BA43B2" w:rsidRPr="00BA43B2" w:rsidRDefault="00BA43B2" w:rsidP="00BA43B2">
      <w:pPr>
        <w:widowControl/>
        <w:wordWrap w:val="0"/>
        <w:adjustRightInd w:val="0"/>
        <w:snapToGrid w:val="0"/>
        <w:spacing w:afterLines="100" w:after="240" w:line="300" w:lineRule="atLeast"/>
        <w:ind w:firstLineChars="1600" w:firstLine="4992"/>
        <w:jc w:val="right"/>
        <w:rPr>
          <w:rFonts w:ascii="宋体" w:eastAsia="宋体" w:hAnsi="宋体" w:cs="宋体"/>
          <w:color w:val="000000"/>
          <w:kern w:val="0"/>
          <w:sz w:val="24"/>
          <w:szCs w:val="24"/>
        </w:rPr>
      </w:pPr>
      <w:r w:rsidRPr="00BA43B2">
        <w:rPr>
          <w:rFonts w:ascii="仿宋_GB2312" w:eastAsia="仿宋_GB2312" w:hAnsi="宋体" w:cs="Times New Roman" w:hint="eastAsia"/>
          <w:color w:val="000000"/>
          <w:spacing w:val="-4"/>
          <w:kern w:val="0"/>
          <w:sz w:val="32"/>
          <w:szCs w:val="32"/>
        </w:rPr>
        <w:t>福  州  大  学</w:t>
      </w:r>
      <w:r>
        <w:rPr>
          <w:rFonts w:ascii="仿宋_GB2312" w:eastAsia="仿宋_GB2312" w:hAnsi="宋体" w:cs="Times New Roman" w:hint="eastAsia"/>
          <w:color w:val="000000"/>
          <w:spacing w:val="-4"/>
          <w:kern w:val="0"/>
          <w:sz w:val="32"/>
          <w:szCs w:val="32"/>
        </w:rPr>
        <w:t xml:space="preserve">  </w:t>
      </w:r>
    </w:p>
    <w:p w:rsidR="00BA43B2" w:rsidRPr="00BA43B2" w:rsidRDefault="00BA43B2" w:rsidP="00BA43B2">
      <w:pPr>
        <w:widowControl/>
        <w:wordWrap w:val="0"/>
        <w:adjustRightInd w:val="0"/>
        <w:snapToGrid w:val="0"/>
        <w:spacing w:afterLines="100" w:after="240" w:line="300" w:lineRule="atLeast"/>
        <w:ind w:firstLineChars="200" w:firstLine="624"/>
        <w:jc w:val="right"/>
        <w:rPr>
          <w:rFonts w:ascii="宋体" w:eastAsia="宋体" w:hAnsi="宋体" w:cs="宋体"/>
          <w:color w:val="000000"/>
          <w:kern w:val="0"/>
          <w:sz w:val="24"/>
          <w:szCs w:val="24"/>
        </w:rPr>
      </w:pPr>
      <w:r w:rsidRPr="00BA43B2">
        <w:rPr>
          <w:rFonts w:ascii="Times New Roman" w:eastAsia="仿宋_GB2312" w:hAnsi="Times New Roman" w:cs="Times New Roman" w:hint="eastAsia"/>
          <w:color w:val="000000"/>
          <w:spacing w:val="-4"/>
          <w:kern w:val="0"/>
          <w:sz w:val="32"/>
          <w:szCs w:val="32"/>
        </w:rPr>
        <w:t xml:space="preserve"> </w:t>
      </w:r>
      <w:r w:rsidRPr="00BA43B2">
        <w:rPr>
          <w:rFonts w:ascii="仿宋_GB2312" w:eastAsia="仿宋_GB2312" w:hAnsi="宋体" w:cs="Times New Roman" w:hint="eastAsia"/>
          <w:color w:val="000000"/>
          <w:spacing w:val="-4"/>
          <w:kern w:val="0"/>
          <w:sz w:val="32"/>
          <w:szCs w:val="32"/>
        </w:rPr>
        <w:t>2017年6月9日</w:t>
      </w:r>
      <w:r>
        <w:rPr>
          <w:rFonts w:ascii="仿宋_GB2312" w:eastAsia="仿宋_GB2312" w:hAnsi="宋体" w:cs="Times New Roman" w:hint="eastAsia"/>
          <w:color w:val="000000"/>
          <w:spacing w:val="-4"/>
          <w:kern w:val="0"/>
          <w:sz w:val="32"/>
          <w:szCs w:val="32"/>
        </w:rPr>
        <w:t xml:space="preserve"> </w:t>
      </w:r>
      <w:bookmarkStart w:id="0" w:name="_GoBack"/>
      <w:bookmarkEnd w:id="0"/>
    </w:p>
    <w:p w:rsidR="00BA43B2" w:rsidRPr="00BA43B2" w:rsidRDefault="00BA43B2" w:rsidP="00BA43B2">
      <w:pPr>
        <w:widowControl/>
        <w:snapToGrid w:val="0"/>
        <w:spacing w:line="300" w:lineRule="atLeast"/>
        <w:jc w:val="left"/>
        <w:rPr>
          <w:rFonts w:ascii="方正小标宋简体" w:eastAsia="方正小标宋简体" w:hAnsi="宋体" w:cs="宋体"/>
          <w:color w:val="000000"/>
          <w:spacing w:val="-4"/>
          <w:sz w:val="44"/>
          <w:szCs w:val="44"/>
        </w:rPr>
        <w:sectPr w:rsidR="00BA43B2" w:rsidRPr="00BA43B2" w:rsidSect="00BA43B2">
          <w:pgSz w:w="12240" w:h="15840"/>
          <w:pgMar w:top="1440" w:right="1467" w:bottom="1440" w:left="1800" w:header="720" w:footer="720" w:gutter="0"/>
          <w:cols w:space="720"/>
        </w:sectPr>
      </w:pPr>
    </w:p>
    <w:p w:rsidR="00BA43B2" w:rsidRPr="00BA43B2" w:rsidRDefault="00BA43B2" w:rsidP="00BA43B2">
      <w:pPr>
        <w:widowControl/>
        <w:adjustRightInd w:val="0"/>
        <w:snapToGrid w:val="0"/>
        <w:spacing w:line="520" w:lineRule="exact"/>
        <w:jc w:val="center"/>
        <w:rPr>
          <w:rFonts w:ascii="宋体" w:eastAsia="宋体" w:hAnsi="宋体" w:cs="宋体"/>
          <w:color w:val="000000"/>
          <w:spacing w:val="-4"/>
          <w:sz w:val="24"/>
          <w:szCs w:val="24"/>
        </w:rPr>
      </w:pPr>
      <w:r w:rsidRPr="00BA43B2">
        <w:rPr>
          <w:rFonts w:ascii="方正小标宋简体" w:eastAsia="方正小标宋简体" w:hAnsi="宋体" w:cs="宋体" w:hint="eastAsia"/>
          <w:color w:val="000000"/>
          <w:spacing w:val="-4"/>
          <w:sz w:val="44"/>
          <w:szCs w:val="44"/>
        </w:rPr>
        <w:lastRenderedPageBreak/>
        <w:t>福州大学实验室安全管理办法</w:t>
      </w:r>
    </w:p>
    <w:p w:rsidR="00BA43B2" w:rsidRPr="00BA43B2" w:rsidRDefault="00BA43B2" w:rsidP="00BA43B2">
      <w:pPr>
        <w:widowControl/>
        <w:adjustRightInd w:val="0"/>
        <w:snapToGrid w:val="0"/>
        <w:spacing w:line="300" w:lineRule="atLeast"/>
        <w:jc w:val="center"/>
        <w:rPr>
          <w:rFonts w:ascii="宋体" w:eastAsia="宋体" w:hAnsi="宋体" w:cs="宋体"/>
          <w:color w:val="000000"/>
          <w:spacing w:val="-4"/>
          <w:sz w:val="24"/>
          <w:szCs w:val="24"/>
        </w:rPr>
      </w:pPr>
      <w:r w:rsidRPr="00BA43B2">
        <w:rPr>
          <w:rFonts w:ascii="仿宋_GB2312" w:eastAsia="仿宋_GB2312" w:hAnsi="宋体" w:cs="宋体" w:hint="eastAsia"/>
          <w:color w:val="000000"/>
          <w:spacing w:val="-6"/>
          <w:sz w:val="32"/>
          <w:szCs w:val="32"/>
        </w:rPr>
        <w:t xml:space="preserve"> </w:t>
      </w:r>
    </w:p>
    <w:p w:rsidR="00BA43B2" w:rsidRPr="00BA43B2" w:rsidRDefault="00BA43B2" w:rsidP="00BA43B2">
      <w:pPr>
        <w:widowControl/>
        <w:adjustRightInd w:val="0"/>
        <w:snapToGrid w:val="0"/>
        <w:spacing w:line="300" w:lineRule="atLeast"/>
        <w:jc w:val="center"/>
        <w:rPr>
          <w:rFonts w:ascii="宋体" w:eastAsia="宋体" w:hAnsi="宋体" w:cs="宋体"/>
          <w:color w:val="000000"/>
          <w:spacing w:val="-4"/>
          <w:sz w:val="24"/>
          <w:szCs w:val="24"/>
        </w:rPr>
      </w:pPr>
      <w:r w:rsidRPr="00BA43B2">
        <w:rPr>
          <w:rFonts w:ascii="仿宋_GB2312" w:eastAsia="仿宋_GB2312" w:hAnsi="宋体" w:cs="宋体" w:hint="eastAsia"/>
          <w:color w:val="000000"/>
          <w:spacing w:val="-6"/>
          <w:sz w:val="32"/>
          <w:szCs w:val="32"/>
        </w:rPr>
        <w:t>福大设〔2017〕1号</w:t>
      </w:r>
    </w:p>
    <w:p w:rsidR="00BA43B2" w:rsidRPr="00BA43B2" w:rsidRDefault="00BA43B2" w:rsidP="00BA43B2">
      <w:pPr>
        <w:widowControl/>
        <w:adjustRightInd w:val="0"/>
        <w:snapToGrid w:val="0"/>
        <w:spacing w:line="520" w:lineRule="exact"/>
        <w:rPr>
          <w:rFonts w:ascii="宋体" w:eastAsia="宋体" w:hAnsi="宋体" w:cs="宋体"/>
          <w:color w:val="000000"/>
          <w:spacing w:val="-4"/>
          <w:sz w:val="24"/>
          <w:szCs w:val="24"/>
        </w:rPr>
      </w:pPr>
      <w:r w:rsidRPr="00BA43B2">
        <w:rPr>
          <w:rFonts w:ascii="仿宋_GB2312" w:eastAsia="仿宋_GB2312" w:hAnsi="宋体" w:cs="宋体" w:hint="eastAsia"/>
          <w:color w:val="000000"/>
          <w:spacing w:val="-4"/>
          <w:sz w:val="18"/>
          <w:szCs w:val="18"/>
        </w:rPr>
        <w:t xml:space="preserve"> </w:t>
      </w:r>
    </w:p>
    <w:p w:rsidR="00BA43B2" w:rsidRPr="00BA43B2" w:rsidRDefault="00BA43B2" w:rsidP="00BA43B2">
      <w:pPr>
        <w:widowControl/>
        <w:adjustRightInd w:val="0"/>
        <w:snapToGrid w:val="0"/>
        <w:spacing w:line="520" w:lineRule="exact"/>
        <w:ind w:firstLineChars="200" w:firstLine="624"/>
        <w:rPr>
          <w:rFonts w:ascii="宋体" w:eastAsia="宋体" w:hAnsi="宋体" w:cs="宋体"/>
          <w:color w:val="000000"/>
          <w:spacing w:val="-4"/>
          <w:sz w:val="24"/>
          <w:szCs w:val="24"/>
        </w:rPr>
      </w:pPr>
      <w:r w:rsidRPr="00BA43B2">
        <w:rPr>
          <w:rFonts w:ascii="仿宋_GB2312" w:eastAsia="仿宋_GB2312" w:hAnsi="宋体" w:cs="宋体" w:hint="eastAsia"/>
          <w:color w:val="000000"/>
          <w:spacing w:val="-4"/>
          <w:sz w:val="32"/>
          <w:szCs w:val="32"/>
        </w:rPr>
        <w:t xml:space="preserve">为加强我校实验室的安全管理，保障师生员工人身与财产安全，维护教学、科研等工作的正常秩序，根据国家有关法律法规，结合我校实际，制定本办法。 </w:t>
      </w:r>
    </w:p>
    <w:p w:rsidR="00BA43B2" w:rsidRPr="00BA43B2" w:rsidRDefault="00BA43B2" w:rsidP="00BA43B2">
      <w:pPr>
        <w:widowControl/>
        <w:adjustRightInd w:val="0"/>
        <w:snapToGrid w:val="0"/>
        <w:spacing w:line="520" w:lineRule="exact"/>
        <w:ind w:firstLineChars="200" w:firstLine="627"/>
        <w:rPr>
          <w:rFonts w:ascii="宋体" w:eastAsia="宋体" w:hAnsi="宋体" w:cs="宋体"/>
          <w:color w:val="000000"/>
          <w:spacing w:val="-4"/>
          <w:sz w:val="24"/>
          <w:szCs w:val="24"/>
        </w:rPr>
      </w:pPr>
      <w:r w:rsidRPr="00BA43B2">
        <w:rPr>
          <w:rFonts w:ascii="仿宋_GB2312" w:eastAsia="仿宋_GB2312" w:hAnsi="宋体" w:cs="宋体" w:hint="eastAsia"/>
          <w:b/>
          <w:bCs/>
          <w:color w:val="000000"/>
          <w:spacing w:val="-4"/>
          <w:sz w:val="32"/>
          <w:szCs w:val="32"/>
        </w:rPr>
        <w:t>第一条</w:t>
      </w:r>
      <w:r w:rsidRPr="00BA43B2">
        <w:rPr>
          <w:rFonts w:ascii="仿宋_GB2312" w:eastAsia="仿宋_GB2312" w:hAnsi="宋体" w:cs="宋体" w:hint="eastAsia"/>
          <w:color w:val="000000"/>
          <w:spacing w:val="-4"/>
          <w:sz w:val="32"/>
          <w:szCs w:val="32"/>
        </w:rPr>
        <w:t xml:space="preserve">  本办法中的“实验室”是指福州大学全校范围内开展教学、科研工作的各类实验场所，包括教学实验室、科研实验室及其他各类实验室等。</w:t>
      </w:r>
    </w:p>
    <w:p w:rsidR="00BA43B2" w:rsidRPr="00BA43B2" w:rsidRDefault="00BA43B2" w:rsidP="00BA43B2">
      <w:pPr>
        <w:widowControl/>
        <w:adjustRightInd w:val="0"/>
        <w:snapToGrid w:val="0"/>
        <w:spacing w:line="520" w:lineRule="exact"/>
        <w:ind w:firstLineChars="200" w:firstLine="627"/>
        <w:rPr>
          <w:rFonts w:ascii="宋体" w:eastAsia="宋体" w:hAnsi="宋体" w:cs="宋体"/>
          <w:color w:val="000000"/>
          <w:spacing w:val="-4"/>
          <w:sz w:val="24"/>
          <w:szCs w:val="24"/>
        </w:rPr>
      </w:pPr>
      <w:r w:rsidRPr="00BA43B2">
        <w:rPr>
          <w:rFonts w:ascii="仿宋_GB2312" w:eastAsia="仿宋_GB2312" w:hAnsi="宋体" w:cs="宋体" w:hint="eastAsia"/>
          <w:b/>
          <w:bCs/>
          <w:color w:val="000000"/>
          <w:spacing w:val="-4"/>
          <w:sz w:val="32"/>
          <w:szCs w:val="32"/>
        </w:rPr>
        <w:t>第二条</w:t>
      </w:r>
      <w:r w:rsidRPr="00BA43B2">
        <w:rPr>
          <w:rFonts w:ascii="仿宋_GB2312" w:eastAsia="仿宋_GB2312" w:hAnsi="宋体" w:cs="宋体" w:hint="eastAsia"/>
          <w:color w:val="000000"/>
          <w:spacing w:val="-4"/>
          <w:sz w:val="32"/>
          <w:szCs w:val="32"/>
        </w:rPr>
        <w:t xml:space="preserve">  学校实行实验室安全工作分级管理制度，在学校统一领导下，构建由学校、学院、实验室组成的三级联动的实验室安全管理责任体系。学校的党政主要负责人是学校实验室安全工作第一责任人，分管校领导协助第一责任人负责全校实验室安全工作，</w:t>
      </w:r>
      <w:r w:rsidRPr="00BA43B2">
        <w:rPr>
          <w:rFonts w:ascii="仿宋_GB2312" w:eastAsia="仿宋_GB2312" w:hAnsi="宋体" w:cs="宋体" w:hint="eastAsia"/>
          <w:color w:val="000000"/>
          <w:spacing w:val="-4"/>
          <w:kern w:val="0"/>
          <w:sz w:val="32"/>
          <w:szCs w:val="32"/>
        </w:rPr>
        <w:t>是实验室安全工作的重要领导责任人</w:t>
      </w:r>
      <w:r w:rsidRPr="00BA43B2">
        <w:rPr>
          <w:rFonts w:ascii="仿宋_GB2312" w:eastAsia="仿宋_GB2312" w:hAnsi="宋体" w:cs="宋体" w:hint="eastAsia"/>
          <w:color w:val="000000"/>
          <w:spacing w:val="-4"/>
          <w:sz w:val="32"/>
          <w:szCs w:val="32"/>
        </w:rPr>
        <w:t>，其他校领导在分管工作范围内对实验室安全工作负有监督、检查、指导和管理职责。根据“谁使用、谁负责，谁主管、谁负责”的原则，逐级分层落实负责制，通过加强各职能部处、各院系的协同管理，对各实验室实行安全责任全覆盖。</w:t>
      </w:r>
    </w:p>
    <w:p w:rsidR="00BA43B2" w:rsidRPr="00BA43B2" w:rsidRDefault="00BA43B2" w:rsidP="00BA43B2">
      <w:pPr>
        <w:widowControl/>
        <w:adjustRightInd w:val="0"/>
        <w:snapToGrid w:val="0"/>
        <w:spacing w:line="520" w:lineRule="exact"/>
        <w:ind w:firstLineChars="200" w:firstLine="627"/>
        <w:rPr>
          <w:rFonts w:ascii="宋体" w:eastAsia="宋体" w:hAnsi="宋体" w:cs="宋体"/>
          <w:color w:val="000000"/>
          <w:spacing w:val="-4"/>
          <w:sz w:val="24"/>
          <w:szCs w:val="24"/>
        </w:rPr>
      </w:pPr>
      <w:r w:rsidRPr="00BA43B2">
        <w:rPr>
          <w:rFonts w:ascii="仿宋_GB2312" w:eastAsia="仿宋_GB2312" w:hAnsi="宋体" w:cs="宋体" w:hint="eastAsia"/>
          <w:b/>
          <w:bCs/>
          <w:color w:val="000000"/>
          <w:spacing w:val="-4"/>
          <w:sz w:val="32"/>
          <w:szCs w:val="32"/>
        </w:rPr>
        <w:t>第三条</w:t>
      </w:r>
      <w:r w:rsidRPr="00BA43B2">
        <w:rPr>
          <w:rFonts w:ascii="仿宋_GB2312" w:eastAsia="仿宋_GB2312" w:hAnsi="宋体" w:cs="宋体" w:hint="eastAsia"/>
          <w:color w:val="000000"/>
          <w:spacing w:val="-4"/>
          <w:sz w:val="32"/>
          <w:szCs w:val="32"/>
        </w:rPr>
        <w:t xml:space="preserve">  各学院的党政主要负责人是各单位实验室安全的第一责任人，分管实验室安全的副院长（副所长、副主任）是各单位的重要责任人，并与学校签订《福州大学实验室安全责任书》，严格执行责任书的相关规定。各学院应成立实验室安全工作领导小组，落实实验室安全分管领导，制定本单位的实验室安全工作计划并组织实施；建立、健全实验室安全责任体系和规章制度（包括制度规定、操作规程、应急预案等）；组织、协调、督促各下属实验室做好实验室安全工作；定期、</w:t>
      </w:r>
      <w:r w:rsidRPr="00BA43B2">
        <w:rPr>
          <w:rFonts w:ascii="仿宋_GB2312" w:eastAsia="仿宋_GB2312" w:hAnsi="宋体" w:cs="宋体" w:hint="eastAsia"/>
          <w:color w:val="000000"/>
          <w:spacing w:val="-4"/>
          <w:sz w:val="32"/>
          <w:szCs w:val="32"/>
        </w:rPr>
        <w:lastRenderedPageBreak/>
        <w:t>不定期组织实验室安全检查，并组织落实安全隐患整改工作；组织本单位实验室安全环保教育培训，实行实验室准入制度；及时发布、报送实验室安全环保工作相关通知、信息、工作进展等。各学院指定一名正式教职工为专（兼）职实验室安全管理员（简称安全员）协助分管领导做好本单位实验室安全的具体工作。</w:t>
      </w:r>
    </w:p>
    <w:p w:rsidR="00BA43B2" w:rsidRPr="00BA43B2" w:rsidRDefault="00BA43B2" w:rsidP="00BA43B2">
      <w:pPr>
        <w:widowControl/>
        <w:adjustRightInd w:val="0"/>
        <w:snapToGrid w:val="0"/>
        <w:spacing w:line="520" w:lineRule="exact"/>
        <w:ind w:firstLineChars="200" w:firstLine="627"/>
        <w:rPr>
          <w:rFonts w:ascii="宋体" w:eastAsia="宋体" w:hAnsi="宋体" w:cs="宋体"/>
          <w:color w:val="000000"/>
          <w:spacing w:val="-4"/>
          <w:sz w:val="24"/>
          <w:szCs w:val="24"/>
        </w:rPr>
      </w:pPr>
      <w:r w:rsidRPr="00BA43B2">
        <w:rPr>
          <w:rFonts w:ascii="仿宋_GB2312" w:eastAsia="仿宋_GB2312" w:hAnsi="宋体" w:cs="宋体" w:hint="eastAsia"/>
          <w:b/>
          <w:bCs/>
          <w:color w:val="000000"/>
          <w:spacing w:val="-4"/>
          <w:sz w:val="32"/>
          <w:szCs w:val="32"/>
        </w:rPr>
        <w:t>第四条</w:t>
      </w:r>
      <w:r w:rsidRPr="00BA43B2">
        <w:rPr>
          <w:rFonts w:ascii="仿宋_GB2312" w:eastAsia="仿宋_GB2312" w:hAnsi="宋体" w:cs="宋体" w:hint="eastAsia"/>
          <w:color w:val="000000"/>
          <w:spacing w:val="-4"/>
          <w:sz w:val="32"/>
          <w:szCs w:val="32"/>
        </w:rPr>
        <w:t xml:space="preserve">  实验室负责人是本实验室安全工作的直接责任人，实验室负责人与学院签订《实验室安全责任书》，根据学院的实验室安全工作计划开展本实验室的安全管理工作。各实验室房间有专门负责人，与实验室负责人签订《实验室安全责任书》，确保实验室安全逐级落实到位。各实验室应根据各自工作特点，制订和完善内部管理规章制度（包括操作规程、应急预案、实验室准入、值班制度等）；确定专/兼职人员管理实验室安全日常工作；规范一般化学品、剧毒化学品、易制毒化学品、易制</w:t>
      </w:r>
      <w:proofErr w:type="gramStart"/>
      <w:r w:rsidRPr="00BA43B2">
        <w:rPr>
          <w:rFonts w:ascii="仿宋_GB2312" w:eastAsia="仿宋_GB2312" w:hAnsi="宋体" w:cs="宋体" w:hint="eastAsia"/>
          <w:color w:val="000000"/>
          <w:spacing w:val="-4"/>
          <w:sz w:val="32"/>
          <w:szCs w:val="32"/>
        </w:rPr>
        <w:t>爆</w:t>
      </w:r>
      <w:proofErr w:type="gramEnd"/>
      <w:r w:rsidRPr="00BA43B2">
        <w:rPr>
          <w:rFonts w:ascii="仿宋_GB2312" w:eastAsia="仿宋_GB2312" w:hAnsi="宋体" w:cs="宋体" w:hint="eastAsia"/>
          <w:color w:val="000000"/>
          <w:spacing w:val="-4"/>
          <w:sz w:val="32"/>
          <w:szCs w:val="32"/>
        </w:rPr>
        <w:t>化学品等储存和使用以及实验室废弃物的收集转运；规范各种实验室仪器及特种设备的使用；根据实验危险情况，对本实验室内工作人员和学生进行实验室教育和培训，对临时来访人员进行安全教育；加大投入，保证本实验室必要安全设施的建设； 对实验室安全进行每日一查，及时消除安全隐患；根据上级管理部门的有关通知，做好安全信息的汇总、上报工作。各实验室应设定一名兼职安全员，安全员协助实验室负责人具体负责该实验室的安全工作。安全员对实验室的安全负有检查、监督的责任，有权制止有碍安全的操作，纠正安全违章行为。</w:t>
      </w:r>
    </w:p>
    <w:p w:rsidR="00BA43B2" w:rsidRPr="00BA43B2" w:rsidRDefault="00BA43B2" w:rsidP="00BA43B2">
      <w:pPr>
        <w:widowControl/>
        <w:adjustRightInd w:val="0"/>
        <w:snapToGrid w:val="0"/>
        <w:spacing w:line="520" w:lineRule="exact"/>
        <w:ind w:firstLineChars="200" w:firstLine="627"/>
        <w:rPr>
          <w:rFonts w:ascii="宋体" w:eastAsia="宋体" w:hAnsi="宋体" w:cs="宋体"/>
          <w:color w:val="000000"/>
          <w:spacing w:val="-4"/>
          <w:sz w:val="24"/>
          <w:szCs w:val="24"/>
        </w:rPr>
      </w:pPr>
      <w:r w:rsidRPr="00BA43B2">
        <w:rPr>
          <w:rFonts w:ascii="仿宋_GB2312" w:eastAsia="仿宋_GB2312" w:hAnsi="宋体" w:cs="宋体" w:hint="eastAsia"/>
          <w:b/>
          <w:bCs/>
          <w:color w:val="000000"/>
          <w:spacing w:val="-4"/>
          <w:sz w:val="32"/>
          <w:szCs w:val="32"/>
        </w:rPr>
        <w:t>第五条</w:t>
      </w:r>
      <w:r w:rsidRPr="00BA43B2">
        <w:rPr>
          <w:rFonts w:ascii="仿宋_GB2312" w:eastAsia="仿宋_GB2312" w:hAnsi="宋体" w:cs="宋体" w:hint="eastAsia"/>
          <w:color w:val="000000"/>
          <w:spacing w:val="-4"/>
          <w:sz w:val="32"/>
          <w:szCs w:val="32"/>
        </w:rPr>
        <w:t xml:space="preserve">  学校建立并不断完善实验室安全检查制度。实验室建设与设备管理处将采取定期和不定期的方式，对全校各类</w:t>
      </w:r>
      <w:r w:rsidRPr="00BA43B2">
        <w:rPr>
          <w:rFonts w:ascii="仿宋_GB2312" w:eastAsia="仿宋_GB2312" w:hAnsi="宋体" w:cs="宋体" w:hint="eastAsia"/>
          <w:color w:val="000000"/>
          <w:spacing w:val="-4"/>
          <w:sz w:val="32"/>
          <w:szCs w:val="32"/>
        </w:rPr>
        <w:lastRenderedPageBreak/>
        <w:t>实验室进行安全检查。各学院应建立常态化的实验室安全检查及督导员制度，学院至少每月一查，并做好检查记录，及时排除安全隐患。学院督导员应根据实验室安全管理规范进行不定期检查，及时发现隐患，做好检查记录，并向所在单位报告。</w:t>
      </w:r>
    </w:p>
    <w:p w:rsidR="00BA43B2" w:rsidRPr="00BA43B2" w:rsidRDefault="00BA43B2" w:rsidP="00BA43B2">
      <w:pPr>
        <w:widowControl/>
        <w:adjustRightInd w:val="0"/>
        <w:snapToGrid w:val="0"/>
        <w:spacing w:line="520" w:lineRule="exact"/>
        <w:ind w:firstLineChars="200" w:firstLine="627"/>
        <w:rPr>
          <w:rFonts w:ascii="宋体" w:eastAsia="宋体" w:hAnsi="宋体" w:cs="宋体"/>
          <w:color w:val="000000"/>
          <w:spacing w:val="-4"/>
          <w:sz w:val="24"/>
          <w:szCs w:val="24"/>
        </w:rPr>
      </w:pPr>
      <w:r w:rsidRPr="00BA43B2">
        <w:rPr>
          <w:rFonts w:ascii="仿宋_GB2312" w:eastAsia="仿宋_GB2312" w:hAnsi="宋体" w:cs="宋体" w:hint="eastAsia"/>
          <w:b/>
          <w:bCs/>
          <w:color w:val="000000"/>
          <w:spacing w:val="-4"/>
          <w:sz w:val="32"/>
          <w:szCs w:val="32"/>
        </w:rPr>
        <w:t>第六条</w:t>
      </w:r>
      <w:r w:rsidRPr="00BA43B2">
        <w:rPr>
          <w:rFonts w:ascii="仿宋_GB2312" w:eastAsia="仿宋_GB2312" w:hAnsi="宋体" w:cs="宋体" w:hint="eastAsia"/>
          <w:color w:val="000000"/>
          <w:spacing w:val="-4"/>
          <w:sz w:val="32"/>
          <w:szCs w:val="32"/>
        </w:rPr>
        <w:t xml:space="preserve">  学校实行实验室安全教育培训及考试制度，进入实验室学习和工作的人员均需按规定完成实验室安全教育培训及实验室安全考试，考试合格后方可进入实验室。对于具有较高实验室安全要求的实验室，相应院系应组织针对本专业的实验室安全培训和考试，经考核通过者方可允许进入实验室工作。本科学生做教学实验时，须有教师或实验室技术人员在场指导。每学期的第一次实验课或研究生进入科研实验室前，必须进行安全教育。做毕业设计或研究生进行单独实验应由导师批准，并在实验前进行必要的安全教育。对进入实验室工作的师生员工要落实和加强“防火、防盗、防毒、防爆”等安全教育，积极宣传、普及一般急救知识和技能，如：烧伤、创伤、中毒、触电等急救处理办法。</w:t>
      </w:r>
    </w:p>
    <w:p w:rsidR="00BA43B2" w:rsidRPr="00BA43B2" w:rsidRDefault="00BA43B2" w:rsidP="00BA43B2">
      <w:pPr>
        <w:widowControl/>
        <w:adjustRightInd w:val="0"/>
        <w:snapToGrid w:val="0"/>
        <w:spacing w:line="520" w:lineRule="exact"/>
        <w:ind w:firstLineChars="200" w:firstLine="627"/>
        <w:rPr>
          <w:rFonts w:ascii="宋体" w:eastAsia="宋体" w:hAnsi="宋体" w:cs="宋体"/>
          <w:color w:val="000000"/>
          <w:spacing w:val="-4"/>
          <w:sz w:val="24"/>
          <w:szCs w:val="24"/>
        </w:rPr>
      </w:pPr>
      <w:r w:rsidRPr="00BA43B2">
        <w:rPr>
          <w:rFonts w:ascii="仿宋_GB2312" w:eastAsia="仿宋_GB2312" w:hAnsi="宋体" w:cs="宋体" w:hint="eastAsia"/>
          <w:b/>
          <w:bCs/>
          <w:color w:val="000000"/>
          <w:spacing w:val="-4"/>
          <w:sz w:val="32"/>
          <w:szCs w:val="32"/>
        </w:rPr>
        <w:t>第七条</w:t>
      </w:r>
      <w:r w:rsidRPr="00BA43B2">
        <w:rPr>
          <w:rFonts w:ascii="仿宋_GB2312" w:eastAsia="仿宋_GB2312" w:hAnsi="宋体" w:cs="宋体" w:hint="eastAsia"/>
          <w:color w:val="000000"/>
          <w:spacing w:val="-4"/>
          <w:sz w:val="32"/>
          <w:szCs w:val="32"/>
        </w:rPr>
        <w:t xml:space="preserve">  实验人员应树立“安全第一”的责任意识，依章守</w:t>
      </w:r>
      <w:proofErr w:type="gramStart"/>
      <w:r w:rsidRPr="00BA43B2">
        <w:rPr>
          <w:rFonts w:ascii="仿宋_GB2312" w:eastAsia="仿宋_GB2312" w:hAnsi="宋体" w:cs="宋体" w:hint="eastAsia"/>
          <w:color w:val="000000"/>
          <w:spacing w:val="-4"/>
          <w:sz w:val="32"/>
          <w:szCs w:val="32"/>
        </w:rPr>
        <w:t>规</w:t>
      </w:r>
      <w:proofErr w:type="gramEnd"/>
      <w:r w:rsidRPr="00BA43B2">
        <w:rPr>
          <w:rFonts w:ascii="仿宋_GB2312" w:eastAsia="仿宋_GB2312" w:hAnsi="宋体" w:cs="宋体" w:hint="eastAsia"/>
          <w:color w:val="000000"/>
          <w:spacing w:val="-4"/>
          <w:sz w:val="32"/>
          <w:szCs w:val="32"/>
        </w:rPr>
        <w:t>地开展实验活动，杜绝违规操作，自觉遵守实验室安全纪律。实验室内严禁留宿、带小孩或与实验无关的人员进入实验室；严禁实验过程中脱岗；严禁实验过程中不按要求穿戴个人防护装备；严禁穿拖鞋或衣冠不整进入实验室；严禁在实验室及附近区域吸烟、烹饪、饮食；严禁在实验冰箱内存放食材；严禁私自违规购买、使用危险化学品；严禁违规丢弃（倾倒）危险废物；严禁毁损、乱标或不标危险品标签和乱摆乱放化学试剂与耗材；严禁危险实验不征得导师批准或私自在他人实验室操作；严禁违反实验规程野蛮操作。</w:t>
      </w:r>
    </w:p>
    <w:p w:rsidR="00BA43B2" w:rsidRPr="00BA43B2" w:rsidRDefault="00BA43B2" w:rsidP="00BA43B2">
      <w:pPr>
        <w:widowControl/>
        <w:adjustRightInd w:val="0"/>
        <w:snapToGrid w:val="0"/>
        <w:spacing w:line="520" w:lineRule="exact"/>
        <w:ind w:firstLineChars="200" w:firstLine="627"/>
        <w:rPr>
          <w:rFonts w:ascii="宋体" w:eastAsia="宋体" w:hAnsi="宋体" w:cs="宋体"/>
          <w:color w:val="000000"/>
          <w:spacing w:val="-4"/>
          <w:sz w:val="24"/>
          <w:szCs w:val="24"/>
        </w:rPr>
      </w:pPr>
      <w:r w:rsidRPr="00BA43B2">
        <w:rPr>
          <w:rFonts w:ascii="仿宋_GB2312" w:eastAsia="仿宋_GB2312" w:hAnsi="宋体" w:cs="宋体" w:hint="eastAsia"/>
          <w:b/>
          <w:bCs/>
          <w:color w:val="000000"/>
          <w:spacing w:val="-4"/>
          <w:sz w:val="32"/>
          <w:szCs w:val="32"/>
        </w:rPr>
        <w:lastRenderedPageBreak/>
        <w:t>第八条</w:t>
      </w:r>
      <w:r w:rsidRPr="00BA43B2">
        <w:rPr>
          <w:rFonts w:ascii="仿宋_GB2312" w:eastAsia="仿宋_GB2312" w:hAnsi="宋体" w:cs="宋体" w:hint="eastAsia"/>
          <w:color w:val="000000"/>
          <w:spacing w:val="-4"/>
          <w:sz w:val="32"/>
          <w:szCs w:val="32"/>
        </w:rPr>
        <w:t xml:space="preserve">  各实验室确因需要而使用剧毒品、易制毒品、易制爆等危险化学品以及放射性物品时，要严格按照相关规定报学校职能部门及公安部门等政府相关部门审批并凭证向具有经营许可资质的单位购买，不得私自从外单位获取。使用危险化学品、放射性物品的单位要认真贯彻国家《危险化学品安全管理条例》（国务院令第591号）、《放射性同位素与射线装置放射安全和防护条例》（国务院令第449号）和上级部门及学校的有关规定，建立严格的危险化学品和放射性物品管理制度，要建立账目，做到账物相符。对危险化学品及放射性物品使用人员要进行相应的安全培训，培训合格方可上岗。对剧毒品、易制毒品以及放射性物品的使用及管理采取“五双制度”：双人保管、双人双锁、双人收发、双人领退、双人使用。使用剧毒品、易制毒品、放射性同位素，应按需申领，实验剩余当日清退，严禁存放、带离实验室，严禁私自销毁、丢弃或借予他人。具体的工作细节，请参照《福州大学危险化学品安全管理办法》及《福州大学辐射安全与环境保护管理办法》。</w:t>
      </w:r>
    </w:p>
    <w:p w:rsidR="00BA43B2" w:rsidRPr="00BA43B2" w:rsidRDefault="00BA43B2" w:rsidP="00BA43B2">
      <w:pPr>
        <w:widowControl/>
        <w:adjustRightInd w:val="0"/>
        <w:snapToGrid w:val="0"/>
        <w:spacing w:line="520" w:lineRule="exact"/>
        <w:ind w:firstLineChars="200" w:firstLine="627"/>
        <w:rPr>
          <w:rFonts w:ascii="宋体" w:eastAsia="宋体" w:hAnsi="宋体" w:cs="宋体"/>
          <w:color w:val="000000"/>
          <w:spacing w:val="-4"/>
          <w:sz w:val="24"/>
          <w:szCs w:val="24"/>
        </w:rPr>
      </w:pPr>
      <w:r w:rsidRPr="00BA43B2">
        <w:rPr>
          <w:rFonts w:ascii="仿宋_GB2312" w:eastAsia="仿宋_GB2312" w:hAnsi="宋体" w:cs="宋体" w:hint="eastAsia"/>
          <w:b/>
          <w:bCs/>
          <w:color w:val="000000"/>
          <w:spacing w:val="-4"/>
          <w:sz w:val="32"/>
          <w:szCs w:val="32"/>
        </w:rPr>
        <w:t>第九条</w:t>
      </w:r>
      <w:r w:rsidRPr="00BA43B2">
        <w:rPr>
          <w:rFonts w:ascii="仿宋_GB2312" w:eastAsia="仿宋_GB2312" w:hAnsi="宋体" w:cs="宋体" w:hint="eastAsia"/>
          <w:color w:val="000000"/>
          <w:spacing w:val="-4"/>
          <w:sz w:val="32"/>
          <w:szCs w:val="32"/>
        </w:rPr>
        <w:t xml:space="preserve">  实验室生物安全管理必须严格执行国家《病原微生物实验室生物安全管理条例》（国务院令第424号）及《病原微生物实验室生物安全环境管理办法》（国家环境保护总局令第32号）等法规要求，严防扩散、泄漏，对人类和动物造成感染。病原微生物要有专人负责，建立健全领取、储存、发放登记制度，领用时必须经实验室负责人批准。对实验剩余的病原微生物要及时做好妥善保管、规范处理，并作好详细记录，绝不允许乱扔乱放、随意倾倒或自行销毁。病原微生物废弃物，处理前应先消毒再集中收集，交由有资质的单位销毁处理。含有病原体的污水必须经严格消毒、灭菌处理，并符合国家排放</w:t>
      </w:r>
      <w:r w:rsidRPr="00BA43B2">
        <w:rPr>
          <w:rFonts w:ascii="仿宋_GB2312" w:eastAsia="仿宋_GB2312" w:hAnsi="宋体" w:cs="宋体" w:hint="eastAsia"/>
          <w:color w:val="000000"/>
          <w:spacing w:val="-4"/>
          <w:sz w:val="32"/>
          <w:szCs w:val="32"/>
        </w:rPr>
        <w:lastRenderedPageBreak/>
        <w:t>标准才能排放。对实验动物、植物，要有专人负责，落实实验动植物管理措施。妥善处理实验动植物的尸体、器官和组织，对实验样品应集中冷冻存放，定期统一销毁，严禁随意丢弃。经有害生物、化学毒品及放射性污染的实验动物尸体、器官和组织等，单独封装并进行标注，不得混杂在其它实验动物废弃物中处理。</w:t>
      </w:r>
    </w:p>
    <w:p w:rsidR="00BA43B2" w:rsidRPr="00BA43B2" w:rsidRDefault="00BA43B2" w:rsidP="00BA43B2">
      <w:pPr>
        <w:widowControl/>
        <w:adjustRightInd w:val="0"/>
        <w:snapToGrid w:val="0"/>
        <w:spacing w:line="520" w:lineRule="exact"/>
        <w:ind w:firstLineChars="200" w:firstLine="627"/>
        <w:rPr>
          <w:rFonts w:ascii="宋体" w:eastAsia="宋体" w:hAnsi="宋体" w:cs="宋体"/>
          <w:color w:val="000000"/>
          <w:spacing w:val="-4"/>
          <w:sz w:val="24"/>
          <w:szCs w:val="24"/>
        </w:rPr>
      </w:pPr>
      <w:r w:rsidRPr="00BA43B2">
        <w:rPr>
          <w:rFonts w:ascii="仿宋_GB2312" w:eastAsia="仿宋_GB2312" w:hAnsi="宋体" w:cs="宋体" w:hint="eastAsia"/>
          <w:b/>
          <w:bCs/>
          <w:color w:val="000000"/>
          <w:spacing w:val="-4"/>
          <w:sz w:val="32"/>
          <w:szCs w:val="32"/>
        </w:rPr>
        <w:t>第十条</w:t>
      </w:r>
      <w:r w:rsidRPr="00BA43B2">
        <w:rPr>
          <w:rFonts w:ascii="仿宋_GB2312" w:eastAsia="仿宋_GB2312" w:hAnsi="宋体" w:cs="宋体" w:hint="eastAsia"/>
          <w:color w:val="000000"/>
          <w:spacing w:val="-4"/>
          <w:sz w:val="32"/>
          <w:szCs w:val="32"/>
        </w:rPr>
        <w:t xml:space="preserve">  实验结束前清理好实验台、各种器材、工具、资料，切断电源，熄灭火源，关好门窗和水龙头，对易燃物品、纸屑等杂物，必须清扫干净，消除隐患。实验废弃物不得未经处理任意排放、丢弃，要严格按照学校和环保局的要求分类收集、妥善贮存并做好废弃物相关的台账。化学废弃物应遵循兼容相存的原则，盛装化学废弃物的容器要密闭可靠，不破碎泄漏。各二级单位应定期对实验废弃物进行清点、包装并形成清单，按学校有关规定及时将废弃物送往暂存柜。</w:t>
      </w:r>
      <w:r w:rsidRPr="00BA43B2">
        <w:rPr>
          <w:rFonts w:ascii="仿宋_GB2312" w:eastAsia="仿宋_GB2312" w:hAnsi="宋体" w:cs="宋体" w:hint="eastAsia"/>
          <w:color w:val="000000"/>
          <w:spacing w:val="-4"/>
          <w:kern w:val="0"/>
          <w:sz w:val="32"/>
          <w:szCs w:val="32"/>
        </w:rPr>
        <w:t>剧毒化学品废弃物和放射性物品的废弃物不得放入暂存柜中，各实验室妥善保存，实验室建设与设备管理处</w:t>
      </w:r>
      <w:r w:rsidRPr="00BA43B2">
        <w:rPr>
          <w:rFonts w:ascii="仿宋_GB2312" w:eastAsia="仿宋_GB2312" w:hAnsi="宋体" w:cs="宋体" w:hint="eastAsia"/>
          <w:color w:val="000000"/>
          <w:spacing w:val="-4"/>
          <w:sz w:val="32"/>
          <w:szCs w:val="32"/>
        </w:rPr>
        <w:t>委托有资质的专业公司进行清运处置，具体细则详见《福州大学实验室废弃化学品管理暂行办法》及相关的规定。</w:t>
      </w:r>
    </w:p>
    <w:p w:rsidR="00BA43B2" w:rsidRPr="00BA43B2" w:rsidRDefault="00BA43B2" w:rsidP="00BA43B2">
      <w:pPr>
        <w:widowControl/>
        <w:adjustRightInd w:val="0"/>
        <w:snapToGrid w:val="0"/>
        <w:spacing w:line="520" w:lineRule="exact"/>
        <w:ind w:firstLineChars="200" w:firstLine="627"/>
        <w:rPr>
          <w:rFonts w:ascii="宋体" w:eastAsia="宋体" w:hAnsi="宋体" w:cs="宋体"/>
          <w:color w:val="000000"/>
          <w:spacing w:val="-4"/>
          <w:sz w:val="24"/>
          <w:szCs w:val="24"/>
        </w:rPr>
      </w:pPr>
      <w:r w:rsidRPr="00BA43B2">
        <w:rPr>
          <w:rFonts w:ascii="仿宋_GB2312" w:eastAsia="仿宋_GB2312" w:hAnsi="宋体" w:cs="宋体" w:hint="eastAsia"/>
          <w:b/>
          <w:bCs/>
          <w:color w:val="000000"/>
          <w:spacing w:val="-4"/>
          <w:sz w:val="32"/>
          <w:szCs w:val="32"/>
        </w:rPr>
        <w:t>第十一条</w:t>
      </w:r>
      <w:r w:rsidRPr="00BA43B2">
        <w:rPr>
          <w:rFonts w:ascii="仿宋_GB2312" w:eastAsia="仿宋_GB2312" w:hAnsi="宋体" w:cs="宋体" w:hint="eastAsia"/>
          <w:color w:val="000000"/>
          <w:spacing w:val="-4"/>
          <w:sz w:val="32"/>
          <w:szCs w:val="32"/>
        </w:rPr>
        <w:t xml:space="preserve">  各单位要根据仪器设备的性能要求做好防火、防潮、防热、防冻、防尘、防震、防磁、防腐蚀、防辐射等技术措施。加强仪器设备操作人员的业务与安全培训，制定和严格执行仪器设备特别是高精仪器设备、高速运转设备、高温高压设备、超低温及其它特种实验设备（锅炉、压力容器、起重机械、电梯等）的操作规程，落实相应的防护措施。对有故障的仪器设备要及时检修，仪器设备的维护保养和检修等要有记录。对精密仪器、大功率仪器设备、使用强电的仪器设备要定</w:t>
      </w:r>
      <w:r w:rsidRPr="00BA43B2">
        <w:rPr>
          <w:rFonts w:ascii="仿宋_GB2312" w:eastAsia="仿宋_GB2312" w:hAnsi="宋体" w:cs="宋体" w:hint="eastAsia"/>
          <w:color w:val="000000"/>
          <w:spacing w:val="-4"/>
          <w:sz w:val="32"/>
          <w:szCs w:val="32"/>
        </w:rPr>
        <w:lastRenderedPageBreak/>
        <w:t>期检查线路，采取必要的安全防范措施。对服役时间较长以及具有潜在安全隐患的仪器设备应及时报废，消除隐患。特种设备应按规定办理登记手续，通过有资质单位检定，证书在有效期内，并有定期检验维护记录。操作人员需持证上岗。</w:t>
      </w:r>
    </w:p>
    <w:p w:rsidR="00BA43B2" w:rsidRPr="00BA43B2" w:rsidRDefault="00BA43B2" w:rsidP="00BA43B2">
      <w:pPr>
        <w:widowControl/>
        <w:adjustRightInd w:val="0"/>
        <w:snapToGrid w:val="0"/>
        <w:spacing w:line="520" w:lineRule="exact"/>
        <w:ind w:firstLineChars="200" w:firstLine="627"/>
        <w:rPr>
          <w:rFonts w:ascii="宋体" w:eastAsia="宋体" w:hAnsi="宋体" w:cs="宋体"/>
          <w:color w:val="000000"/>
          <w:spacing w:val="-4"/>
          <w:sz w:val="24"/>
          <w:szCs w:val="24"/>
        </w:rPr>
      </w:pPr>
      <w:r w:rsidRPr="00BA43B2">
        <w:rPr>
          <w:rFonts w:ascii="仿宋_GB2312" w:eastAsia="仿宋_GB2312" w:hAnsi="宋体" w:cs="宋体" w:hint="eastAsia"/>
          <w:b/>
          <w:bCs/>
          <w:color w:val="000000"/>
          <w:spacing w:val="-4"/>
          <w:sz w:val="32"/>
          <w:szCs w:val="32"/>
        </w:rPr>
        <w:t>第十二条</w:t>
      </w:r>
      <w:r w:rsidRPr="00BA43B2">
        <w:rPr>
          <w:rFonts w:ascii="仿宋_GB2312" w:eastAsia="仿宋_GB2312" w:hAnsi="宋体" w:cs="宋体" w:hint="eastAsia"/>
          <w:color w:val="000000"/>
          <w:spacing w:val="-4"/>
          <w:sz w:val="32"/>
          <w:szCs w:val="32"/>
        </w:rPr>
        <w:t xml:space="preserve">  实验室内固定电源的安装、拆除、改线必须由专业人员实施，水、电安装应符合规范。不得擅自改装、拆修电器设施，接线板不得串联使用，实验室内不得有裸露的电线头，不得乱接乱拉电线。电源开关箱周围不得堆放杂物，以免触电或燃烧。实验室大厅和走廊，不得堆放报废或积压的仪器设备、实验台椅、废纸箱等杂物，不得停放自行车，切实保证大楼安全通道的畅通和环境的整洁。化学类实验室不得使用明火电炉，因教学、科研需要必须使用电炉设备的，要经实验室建设与设备管理处批准，并做好相应的安全防护措施。各实验室应配备应急设施，如灭火器、灭火沙箱、防火</w:t>
      </w:r>
      <w:proofErr w:type="gramStart"/>
      <w:r w:rsidRPr="00BA43B2">
        <w:rPr>
          <w:rFonts w:ascii="仿宋_GB2312" w:eastAsia="仿宋_GB2312" w:hAnsi="宋体" w:cs="宋体" w:hint="eastAsia"/>
          <w:color w:val="000000"/>
          <w:spacing w:val="-4"/>
          <w:sz w:val="32"/>
          <w:szCs w:val="32"/>
        </w:rPr>
        <w:t>毯</w:t>
      </w:r>
      <w:proofErr w:type="gramEnd"/>
      <w:r w:rsidRPr="00BA43B2">
        <w:rPr>
          <w:rFonts w:ascii="仿宋_GB2312" w:eastAsia="仿宋_GB2312" w:hAnsi="宋体" w:cs="宋体" w:hint="eastAsia"/>
          <w:color w:val="000000"/>
          <w:spacing w:val="-4"/>
          <w:sz w:val="32"/>
          <w:szCs w:val="32"/>
        </w:rPr>
        <w:t>、救护箱等。消防器材要放在明显和便于取用的位置，周围不得堆放杂物。实验室要严格做到“四防、五关、一查”（防火、防盗、防破坏、防灾害事故；关门、关窗、关水、关电、关气；查仪器设备）。</w:t>
      </w:r>
    </w:p>
    <w:p w:rsidR="00BA43B2" w:rsidRPr="00BA43B2" w:rsidRDefault="00BA43B2" w:rsidP="00BA43B2">
      <w:pPr>
        <w:widowControl/>
        <w:adjustRightInd w:val="0"/>
        <w:snapToGrid w:val="0"/>
        <w:spacing w:line="520" w:lineRule="exact"/>
        <w:ind w:firstLineChars="200" w:firstLine="627"/>
        <w:rPr>
          <w:rFonts w:ascii="宋体" w:eastAsia="宋体" w:hAnsi="宋体" w:cs="宋体"/>
          <w:color w:val="000000"/>
          <w:spacing w:val="-4"/>
          <w:sz w:val="24"/>
          <w:szCs w:val="24"/>
        </w:rPr>
      </w:pPr>
      <w:r w:rsidRPr="00BA43B2">
        <w:rPr>
          <w:rFonts w:ascii="仿宋_GB2312" w:eastAsia="仿宋_GB2312" w:hAnsi="宋体" w:cs="宋体" w:hint="eastAsia"/>
          <w:b/>
          <w:bCs/>
          <w:color w:val="000000"/>
          <w:spacing w:val="-4"/>
          <w:sz w:val="32"/>
          <w:szCs w:val="32"/>
        </w:rPr>
        <w:t>第十三条</w:t>
      </w:r>
      <w:r w:rsidRPr="00BA43B2">
        <w:rPr>
          <w:rFonts w:ascii="仿宋_GB2312" w:eastAsia="仿宋_GB2312" w:hAnsi="宋体" w:cs="宋体" w:hint="eastAsia"/>
          <w:color w:val="000000"/>
          <w:spacing w:val="-4"/>
          <w:sz w:val="32"/>
          <w:szCs w:val="32"/>
        </w:rPr>
        <w:t xml:space="preserve">  各实验室须根据潜在危险因素配置消防器材、烟雾报警、监控系统、应急喷淋、洗眼装置、危险气体报警、通风系统、防护罩、警戒隔离等安全设施，配备必要的防护用品，并加强实验室安全设施的管理工作，切实做好及时更新、维护保养和检修工作，做好相关记录，确保其完好性。各种安全设施不准借用或挪用。</w:t>
      </w:r>
    </w:p>
    <w:p w:rsidR="00BA43B2" w:rsidRPr="00BA43B2" w:rsidRDefault="00BA43B2" w:rsidP="00BA43B2">
      <w:pPr>
        <w:widowControl/>
        <w:adjustRightInd w:val="0"/>
        <w:snapToGrid w:val="0"/>
        <w:spacing w:line="520" w:lineRule="exact"/>
        <w:ind w:firstLineChars="200" w:firstLine="627"/>
        <w:rPr>
          <w:rFonts w:ascii="宋体" w:eastAsia="宋体" w:hAnsi="宋体" w:cs="宋体"/>
          <w:color w:val="000000"/>
          <w:spacing w:val="-4"/>
          <w:sz w:val="24"/>
          <w:szCs w:val="24"/>
        </w:rPr>
      </w:pPr>
      <w:r w:rsidRPr="00BA43B2">
        <w:rPr>
          <w:rFonts w:ascii="仿宋_GB2312" w:eastAsia="仿宋_GB2312" w:hAnsi="宋体" w:cs="宋体" w:hint="eastAsia"/>
          <w:b/>
          <w:bCs/>
          <w:color w:val="000000"/>
          <w:spacing w:val="-4"/>
          <w:kern w:val="0"/>
          <w:sz w:val="32"/>
          <w:szCs w:val="32"/>
        </w:rPr>
        <w:t>第十四条</w:t>
      </w:r>
      <w:r w:rsidRPr="00BA43B2">
        <w:rPr>
          <w:rFonts w:ascii="仿宋_GB2312" w:eastAsia="仿宋_GB2312" w:hAnsi="宋体" w:cs="宋体" w:hint="eastAsia"/>
          <w:color w:val="000000"/>
          <w:spacing w:val="-4"/>
          <w:kern w:val="0"/>
          <w:sz w:val="32"/>
          <w:szCs w:val="32"/>
        </w:rPr>
        <w:t xml:space="preserve">  </w:t>
      </w:r>
      <w:r w:rsidRPr="00BA43B2">
        <w:rPr>
          <w:rFonts w:ascii="仿宋_GB2312" w:eastAsia="仿宋_GB2312" w:hAnsi="宋体" w:cs="宋体" w:hint="eastAsia"/>
          <w:color w:val="000000"/>
          <w:spacing w:val="-4"/>
          <w:sz w:val="32"/>
          <w:szCs w:val="32"/>
        </w:rPr>
        <w:t>实验室应当加强科研项目涉密工作管理，严格执行国家相关保密规定。建立完善的科研项目和科研成果相关</w:t>
      </w:r>
      <w:r w:rsidRPr="00BA43B2">
        <w:rPr>
          <w:rFonts w:ascii="仿宋_GB2312" w:eastAsia="仿宋_GB2312" w:hAnsi="宋体" w:cs="宋体" w:hint="eastAsia"/>
          <w:color w:val="000000"/>
          <w:spacing w:val="-4"/>
          <w:sz w:val="32"/>
          <w:szCs w:val="32"/>
        </w:rPr>
        <w:lastRenderedPageBreak/>
        <w:t>保密工作管理制度，落实保密工作管理责任，完善保密防护措施，规范涉密信息系统、载体和设备等的管理，加强对从事涉密项目研究人员的管理、教育和培训。承担保密项目的实验场地，不得对外开放。确因工作需要必须安排参观的，需经学校相关部门领导批准，并划定参观范围。</w:t>
      </w:r>
    </w:p>
    <w:p w:rsidR="00BA43B2" w:rsidRPr="00BA43B2" w:rsidRDefault="00BA43B2" w:rsidP="00BA43B2">
      <w:pPr>
        <w:widowControl/>
        <w:adjustRightInd w:val="0"/>
        <w:snapToGrid w:val="0"/>
        <w:spacing w:line="520" w:lineRule="exact"/>
        <w:ind w:firstLineChars="200" w:firstLine="627"/>
        <w:rPr>
          <w:rFonts w:ascii="宋体" w:eastAsia="宋体" w:hAnsi="宋体" w:cs="宋体"/>
          <w:color w:val="000000"/>
          <w:spacing w:val="-4"/>
          <w:sz w:val="24"/>
          <w:szCs w:val="24"/>
        </w:rPr>
      </w:pPr>
      <w:r w:rsidRPr="00BA43B2">
        <w:rPr>
          <w:rFonts w:ascii="仿宋_GB2312" w:eastAsia="仿宋_GB2312" w:hAnsi="宋体" w:cs="宋体" w:hint="eastAsia"/>
          <w:b/>
          <w:bCs/>
          <w:color w:val="000000"/>
          <w:spacing w:val="-4"/>
          <w:kern w:val="0"/>
          <w:sz w:val="32"/>
          <w:szCs w:val="32"/>
        </w:rPr>
        <w:t>第十五条</w:t>
      </w:r>
      <w:r w:rsidRPr="00BA43B2">
        <w:rPr>
          <w:rFonts w:ascii="仿宋_GB2312" w:eastAsia="仿宋_GB2312" w:hAnsi="宋体" w:cs="宋体" w:hint="eastAsia"/>
          <w:color w:val="000000"/>
          <w:spacing w:val="-4"/>
          <w:kern w:val="0"/>
          <w:sz w:val="32"/>
          <w:szCs w:val="32"/>
        </w:rPr>
        <w:t xml:space="preserve">  实验室发生安全事故时，应立即启动应急预案，采取积极有效的应急措施，防止危害扩大蔓延，同时保护好现场，及时上报。对事故瞒报、不报的单位和个人，将追究相关人员责任。对玩忽职守，违章操作，忽视安全而造成严重安全事故的，追究肇事者、主管人员和主管领导相应责任；情节严重者，要给予纪律处分，触犯法律的交由司法机关依法处理。</w:t>
      </w:r>
    </w:p>
    <w:p w:rsidR="00BA43B2" w:rsidRPr="00BA43B2" w:rsidRDefault="00BA43B2" w:rsidP="00BA43B2">
      <w:pPr>
        <w:widowControl/>
        <w:adjustRightInd w:val="0"/>
        <w:snapToGrid w:val="0"/>
        <w:spacing w:line="520" w:lineRule="exact"/>
        <w:ind w:firstLineChars="200" w:firstLine="627"/>
        <w:rPr>
          <w:rFonts w:ascii="宋体" w:eastAsia="宋体" w:hAnsi="宋体" w:cs="宋体"/>
          <w:color w:val="000000"/>
          <w:spacing w:val="-4"/>
          <w:sz w:val="24"/>
          <w:szCs w:val="24"/>
        </w:rPr>
      </w:pPr>
      <w:r w:rsidRPr="00BA43B2">
        <w:rPr>
          <w:rFonts w:ascii="仿宋_GB2312" w:eastAsia="仿宋_GB2312" w:hAnsi="宋体" w:cs="宋体" w:hint="eastAsia"/>
          <w:b/>
          <w:bCs/>
          <w:color w:val="000000"/>
          <w:spacing w:val="-4"/>
          <w:kern w:val="0"/>
          <w:sz w:val="32"/>
          <w:szCs w:val="32"/>
        </w:rPr>
        <w:t>第十六条</w:t>
      </w:r>
      <w:r w:rsidRPr="00BA43B2">
        <w:rPr>
          <w:rFonts w:ascii="仿宋_GB2312" w:eastAsia="仿宋_GB2312" w:hAnsi="宋体" w:cs="宋体" w:hint="eastAsia"/>
          <w:color w:val="000000"/>
          <w:spacing w:val="-4"/>
          <w:kern w:val="0"/>
          <w:sz w:val="32"/>
          <w:szCs w:val="32"/>
        </w:rPr>
        <w:t xml:space="preserve">  各单位应根据本办法，结合实际情况制定相应管理规定或实施细则。本办法未尽事项，按国家有关法律法规执行。</w:t>
      </w:r>
    </w:p>
    <w:p w:rsidR="00BA43B2" w:rsidRPr="00BA43B2" w:rsidRDefault="00BA43B2" w:rsidP="00BA43B2">
      <w:pPr>
        <w:widowControl/>
        <w:adjustRightInd w:val="0"/>
        <w:snapToGrid w:val="0"/>
        <w:spacing w:line="520" w:lineRule="exact"/>
        <w:ind w:firstLineChars="200" w:firstLine="627"/>
        <w:rPr>
          <w:rFonts w:ascii="宋体" w:eastAsia="宋体" w:hAnsi="宋体" w:cs="宋体"/>
          <w:color w:val="000000"/>
          <w:spacing w:val="-4"/>
          <w:sz w:val="24"/>
          <w:szCs w:val="24"/>
        </w:rPr>
      </w:pPr>
      <w:r w:rsidRPr="00BA43B2">
        <w:rPr>
          <w:rFonts w:ascii="仿宋_GB2312" w:eastAsia="仿宋_GB2312" w:hAnsi="宋体" w:cs="宋体" w:hint="eastAsia"/>
          <w:b/>
          <w:bCs/>
          <w:color w:val="000000"/>
          <w:spacing w:val="-4"/>
          <w:kern w:val="0"/>
          <w:sz w:val="32"/>
          <w:szCs w:val="32"/>
        </w:rPr>
        <w:t>第十七条</w:t>
      </w:r>
      <w:r w:rsidRPr="00BA43B2">
        <w:rPr>
          <w:rFonts w:ascii="仿宋_GB2312" w:eastAsia="仿宋_GB2312" w:hAnsi="宋体" w:cs="宋体" w:hint="eastAsia"/>
          <w:color w:val="000000"/>
          <w:spacing w:val="-4"/>
          <w:kern w:val="0"/>
          <w:sz w:val="32"/>
          <w:szCs w:val="32"/>
        </w:rPr>
        <w:t xml:space="preserve">  本办法由实验室建设与设备管理处负责解释，自印发之日起实施，原《福州大学实验室安全管理暂行办法》（</w:t>
      </w:r>
      <w:proofErr w:type="gramStart"/>
      <w:r w:rsidRPr="00BA43B2">
        <w:rPr>
          <w:rFonts w:ascii="仿宋_GB2312" w:eastAsia="仿宋_GB2312" w:hAnsi="宋体" w:cs="宋体" w:hint="eastAsia"/>
          <w:color w:val="000000"/>
          <w:spacing w:val="-4"/>
          <w:kern w:val="0"/>
          <w:sz w:val="32"/>
          <w:szCs w:val="32"/>
        </w:rPr>
        <w:t>福大资〔2000〕</w:t>
      </w:r>
      <w:proofErr w:type="gramEnd"/>
      <w:r w:rsidRPr="00BA43B2">
        <w:rPr>
          <w:rFonts w:ascii="仿宋_GB2312" w:eastAsia="仿宋_GB2312" w:hAnsi="宋体" w:cs="宋体" w:hint="eastAsia"/>
          <w:color w:val="000000"/>
          <w:spacing w:val="-4"/>
          <w:kern w:val="0"/>
          <w:sz w:val="32"/>
          <w:szCs w:val="32"/>
        </w:rPr>
        <w:t>6号）同时废止。</w:t>
      </w:r>
    </w:p>
    <w:p w:rsidR="00BA43B2" w:rsidRPr="00BA43B2" w:rsidRDefault="00BA43B2" w:rsidP="00BA43B2">
      <w:pPr>
        <w:widowControl/>
        <w:adjustRightInd w:val="0"/>
        <w:snapToGrid w:val="0"/>
        <w:spacing w:line="280" w:lineRule="exact"/>
        <w:rPr>
          <w:rFonts w:ascii="宋体" w:eastAsia="宋体" w:hAnsi="宋体" w:cs="宋体"/>
          <w:color w:val="000000"/>
          <w:spacing w:val="-4"/>
          <w:sz w:val="24"/>
          <w:szCs w:val="24"/>
        </w:rPr>
      </w:pPr>
      <w:r w:rsidRPr="00BA43B2">
        <w:rPr>
          <w:rFonts w:ascii="宋体" w:eastAsia="宋体" w:hAnsi="宋体" w:cs="宋体" w:hint="eastAsia"/>
          <w:color w:val="000000"/>
          <w:spacing w:val="-4"/>
          <w:kern w:val="0"/>
          <w:sz w:val="28"/>
          <w:szCs w:val="28"/>
        </w:rPr>
        <w:t xml:space="preserve"> </w:t>
      </w:r>
    </w:p>
    <w:p w:rsidR="00BA43B2" w:rsidRPr="00BA43B2" w:rsidRDefault="00BA43B2" w:rsidP="00BA43B2">
      <w:pPr>
        <w:widowControl/>
        <w:adjustRightInd w:val="0"/>
        <w:snapToGrid w:val="0"/>
        <w:spacing w:line="280" w:lineRule="exact"/>
        <w:rPr>
          <w:rFonts w:ascii="宋体" w:eastAsia="宋体" w:hAnsi="宋体" w:cs="宋体"/>
          <w:color w:val="000000"/>
          <w:spacing w:val="-4"/>
          <w:sz w:val="24"/>
          <w:szCs w:val="24"/>
        </w:rPr>
      </w:pPr>
      <w:r w:rsidRPr="00BA43B2">
        <w:rPr>
          <w:rFonts w:ascii="宋体" w:eastAsia="宋体" w:hAnsi="宋体" w:cs="宋体" w:hint="eastAsia"/>
          <w:color w:val="000000"/>
          <w:spacing w:val="-4"/>
          <w:kern w:val="0"/>
          <w:sz w:val="28"/>
          <w:szCs w:val="28"/>
        </w:rPr>
        <w:t xml:space="preserve"> </w:t>
      </w:r>
    </w:p>
    <w:p w:rsidR="00BA43B2" w:rsidRPr="00BA43B2" w:rsidRDefault="00BA43B2" w:rsidP="00BA43B2">
      <w:pPr>
        <w:widowControl/>
        <w:adjustRightInd w:val="0"/>
        <w:snapToGrid w:val="0"/>
        <w:spacing w:line="280" w:lineRule="exact"/>
        <w:rPr>
          <w:rFonts w:ascii="宋体" w:eastAsia="宋体" w:hAnsi="宋体" w:cs="宋体"/>
          <w:color w:val="000000"/>
          <w:spacing w:val="-4"/>
          <w:sz w:val="24"/>
          <w:szCs w:val="24"/>
        </w:rPr>
      </w:pPr>
      <w:r w:rsidRPr="00BA43B2">
        <w:rPr>
          <w:rFonts w:ascii="宋体" w:eastAsia="宋体" w:hAnsi="宋体" w:cs="宋体" w:hint="eastAsia"/>
          <w:color w:val="000000"/>
          <w:spacing w:val="-4"/>
          <w:kern w:val="0"/>
          <w:sz w:val="28"/>
          <w:szCs w:val="28"/>
        </w:rPr>
        <w:t xml:space="preserve"> </w:t>
      </w:r>
    </w:p>
    <w:p w:rsidR="00BA43B2" w:rsidRPr="00BA43B2" w:rsidRDefault="00BA43B2" w:rsidP="00BA43B2">
      <w:pPr>
        <w:widowControl/>
        <w:adjustRightInd w:val="0"/>
        <w:snapToGrid w:val="0"/>
        <w:spacing w:line="280" w:lineRule="exact"/>
        <w:rPr>
          <w:rFonts w:ascii="宋体" w:eastAsia="宋体" w:hAnsi="宋体" w:cs="宋体"/>
          <w:color w:val="000000"/>
          <w:spacing w:val="-4"/>
          <w:sz w:val="24"/>
          <w:szCs w:val="24"/>
        </w:rPr>
      </w:pPr>
      <w:r w:rsidRPr="00BA43B2">
        <w:rPr>
          <w:rFonts w:ascii="宋体" w:eastAsia="宋体" w:hAnsi="宋体" w:cs="宋体" w:hint="eastAsia"/>
          <w:color w:val="000000"/>
          <w:spacing w:val="-4"/>
          <w:kern w:val="0"/>
          <w:sz w:val="28"/>
          <w:szCs w:val="28"/>
        </w:rPr>
        <w:t xml:space="preserve"> </w:t>
      </w:r>
    </w:p>
    <w:p w:rsidR="00BA43B2" w:rsidRPr="00BA43B2" w:rsidRDefault="00BA43B2" w:rsidP="00BA43B2">
      <w:pPr>
        <w:widowControl/>
        <w:adjustRightInd w:val="0"/>
        <w:snapToGrid w:val="0"/>
        <w:spacing w:line="280" w:lineRule="exact"/>
        <w:rPr>
          <w:rFonts w:ascii="宋体" w:eastAsia="宋体" w:hAnsi="宋体" w:cs="宋体"/>
          <w:color w:val="000000"/>
          <w:spacing w:val="-4"/>
          <w:sz w:val="24"/>
          <w:szCs w:val="24"/>
        </w:rPr>
      </w:pPr>
      <w:r w:rsidRPr="00BA43B2">
        <w:rPr>
          <w:rFonts w:ascii="黑体" w:eastAsia="黑体" w:hAnsi="黑体" w:cs="宋体" w:hint="eastAsia"/>
          <w:color w:val="000000"/>
          <w:spacing w:val="-4"/>
          <w:kern w:val="0"/>
          <w:sz w:val="32"/>
          <w:szCs w:val="32"/>
        </w:rPr>
        <w:t>——</w:t>
      </w:r>
      <w:proofErr w:type="gramStart"/>
      <w:r w:rsidRPr="00BA43B2">
        <w:rPr>
          <w:rFonts w:ascii="黑体" w:eastAsia="黑体" w:hAnsi="黑体" w:cs="宋体" w:hint="eastAsia"/>
          <w:color w:val="000000"/>
          <w:spacing w:val="-4"/>
          <w:kern w:val="0"/>
          <w:sz w:val="32"/>
          <w:szCs w:val="32"/>
        </w:rPr>
        <w:t>————————————————————————</w:t>
      </w:r>
      <w:proofErr w:type="gramEnd"/>
    </w:p>
    <w:p w:rsidR="00BA43B2" w:rsidRPr="00BA43B2" w:rsidRDefault="00BA43B2" w:rsidP="00BA43B2">
      <w:pPr>
        <w:widowControl/>
        <w:adjustRightInd w:val="0"/>
        <w:snapToGrid w:val="0"/>
        <w:spacing w:line="280" w:lineRule="exact"/>
        <w:rPr>
          <w:rFonts w:ascii="宋体" w:eastAsia="宋体" w:hAnsi="宋体" w:cs="宋体"/>
          <w:color w:val="000000"/>
          <w:spacing w:val="-4"/>
          <w:sz w:val="24"/>
          <w:szCs w:val="24"/>
        </w:rPr>
      </w:pPr>
      <w:r w:rsidRPr="00BA43B2">
        <w:rPr>
          <w:rFonts w:ascii="仿宋_GB2312" w:eastAsia="仿宋_GB2312" w:hAnsi="宋体" w:cs="宋体" w:hint="eastAsia"/>
          <w:color w:val="000000"/>
          <w:spacing w:val="-4"/>
          <w:kern w:val="0"/>
          <w:sz w:val="28"/>
          <w:szCs w:val="28"/>
        </w:rPr>
        <w:t xml:space="preserve">  福州大学校长办公室                     2017年6月12日印发</w:t>
      </w:r>
    </w:p>
    <w:p w:rsidR="00BA43B2" w:rsidRPr="00BA43B2" w:rsidRDefault="00BA43B2" w:rsidP="00BA43B2">
      <w:pPr>
        <w:widowControl/>
        <w:adjustRightInd w:val="0"/>
        <w:snapToGrid w:val="0"/>
        <w:spacing w:line="280" w:lineRule="exact"/>
        <w:rPr>
          <w:rFonts w:ascii="宋体" w:eastAsia="宋体" w:hAnsi="宋体" w:cs="宋体"/>
          <w:color w:val="000000"/>
          <w:spacing w:val="-4"/>
          <w:sz w:val="24"/>
          <w:szCs w:val="24"/>
        </w:rPr>
      </w:pPr>
      <w:r w:rsidRPr="00BA43B2">
        <w:rPr>
          <w:rFonts w:ascii="黑体" w:eastAsia="黑体" w:hAnsi="黑体" w:cs="宋体" w:hint="eastAsia"/>
          <w:color w:val="000000"/>
          <w:spacing w:val="-4"/>
          <w:kern w:val="0"/>
          <w:sz w:val="32"/>
          <w:szCs w:val="32"/>
        </w:rPr>
        <w:t>——</w:t>
      </w:r>
      <w:proofErr w:type="gramStart"/>
      <w:r w:rsidRPr="00BA43B2">
        <w:rPr>
          <w:rFonts w:ascii="黑体" w:eastAsia="黑体" w:hAnsi="黑体" w:cs="宋体" w:hint="eastAsia"/>
          <w:color w:val="000000"/>
          <w:spacing w:val="-4"/>
          <w:kern w:val="0"/>
          <w:sz w:val="32"/>
          <w:szCs w:val="32"/>
        </w:rPr>
        <w:t>————————————————————————</w:t>
      </w:r>
      <w:proofErr w:type="gramEnd"/>
    </w:p>
    <w:p w:rsidR="00BA43B2" w:rsidRPr="00BA43B2" w:rsidRDefault="00BA43B2"/>
    <w:sectPr w:rsidR="00BA43B2" w:rsidRPr="00BA43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3B2"/>
    <w:rsid w:val="0012103B"/>
    <w:rsid w:val="0045598F"/>
    <w:rsid w:val="00BA4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450255">
      <w:bodyDiv w:val="1"/>
      <w:marLeft w:val="0"/>
      <w:marRight w:val="0"/>
      <w:marTop w:val="0"/>
      <w:marBottom w:val="0"/>
      <w:divBdr>
        <w:top w:val="none" w:sz="0" w:space="0" w:color="auto"/>
        <w:left w:val="none" w:sz="0" w:space="0" w:color="auto"/>
        <w:bottom w:val="none" w:sz="0" w:space="0" w:color="auto"/>
        <w:right w:val="none" w:sz="0" w:space="0" w:color="auto"/>
      </w:divBdr>
      <w:divsChild>
        <w:div w:id="1836459804">
          <w:marLeft w:val="0"/>
          <w:marRight w:val="0"/>
          <w:marTop w:val="0"/>
          <w:marBottom w:val="0"/>
          <w:divBdr>
            <w:top w:val="none" w:sz="0" w:space="0" w:color="auto"/>
            <w:left w:val="none" w:sz="0" w:space="0" w:color="auto"/>
            <w:bottom w:val="none" w:sz="0" w:space="0" w:color="auto"/>
            <w:right w:val="none" w:sz="0" w:space="0" w:color="auto"/>
          </w:divBdr>
          <w:divsChild>
            <w:div w:id="51201762">
              <w:marLeft w:val="0"/>
              <w:marRight w:val="0"/>
              <w:marTop w:val="0"/>
              <w:marBottom w:val="0"/>
              <w:divBdr>
                <w:top w:val="none" w:sz="0" w:space="0" w:color="auto"/>
                <w:left w:val="none" w:sz="0" w:space="0" w:color="auto"/>
                <w:bottom w:val="none" w:sz="0" w:space="0" w:color="auto"/>
                <w:right w:val="none" w:sz="0" w:space="0" w:color="auto"/>
              </w:divBdr>
              <w:divsChild>
                <w:div w:id="1434714676">
                  <w:marLeft w:val="0"/>
                  <w:marRight w:val="0"/>
                  <w:marTop w:val="75"/>
                  <w:marBottom w:val="0"/>
                  <w:divBdr>
                    <w:top w:val="none" w:sz="0" w:space="0" w:color="auto"/>
                    <w:left w:val="none" w:sz="0" w:space="0" w:color="auto"/>
                    <w:bottom w:val="none" w:sz="0" w:space="0" w:color="auto"/>
                    <w:right w:val="none" w:sz="0" w:space="0" w:color="auto"/>
                  </w:divBdr>
                  <w:divsChild>
                    <w:div w:id="241911685">
                      <w:marLeft w:val="0"/>
                      <w:marRight w:val="0"/>
                      <w:marTop w:val="75"/>
                      <w:marBottom w:val="0"/>
                      <w:divBdr>
                        <w:top w:val="none" w:sz="0" w:space="0" w:color="auto"/>
                        <w:left w:val="none" w:sz="0" w:space="0" w:color="auto"/>
                        <w:bottom w:val="none" w:sz="0" w:space="0" w:color="auto"/>
                        <w:right w:val="none" w:sz="0" w:space="0" w:color="auto"/>
                      </w:divBdr>
                      <w:divsChild>
                        <w:div w:id="581525461">
                          <w:marLeft w:val="0"/>
                          <w:marRight w:val="0"/>
                          <w:marTop w:val="0"/>
                          <w:marBottom w:val="0"/>
                          <w:divBdr>
                            <w:top w:val="none" w:sz="0" w:space="0" w:color="auto"/>
                            <w:left w:val="none" w:sz="0" w:space="0" w:color="auto"/>
                            <w:bottom w:val="none" w:sz="0" w:space="0" w:color="auto"/>
                            <w:right w:val="none" w:sz="0" w:space="0" w:color="auto"/>
                          </w:divBdr>
                          <w:divsChild>
                            <w:div w:id="2011593417">
                              <w:marLeft w:val="0"/>
                              <w:marRight w:val="0"/>
                              <w:marTop w:val="0"/>
                              <w:marBottom w:val="0"/>
                              <w:divBdr>
                                <w:top w:val="none" w:sz="0" w:space="0" w:color="auto"/>
                                <w:left w:val="none" w:sz="0" w:space="0" w:color="auto"/>
                                <w:bottom w:val="none" w:sz="0" w:space="0" w:color="auto"/>
                                <w:right w:val="none" w:sz="0" w:space="0" w:color="auto"/>
                              </w:divBdr>
                              <w:divsChild>
                                <w:div w:id="6823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701</Words>
  <Characters>4001</Characters>
  <Application>Microsoft Office Word</Application>
  <DocSecurity>0</DocSecurity>
  <Lines>33</Lines>
  <Paragraphs>9</Paragraphs>
  <ScaleCrop>false</ScaleCrop>
  <Company>Hewlett-Packard Company</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1</cp:revision>
  <dcterms:created xsi:type="dcterms:W3CDTF">2017-07-04T02:55:00Z</dcterms:created>
  <dcterms:modified xsi:type="dcterms:W3CDTF">2017-07-04T02:56:00Z</dcterms:modified>
</cp:coreProperties>
</file>